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ind w:left="0" w:right="0" w:hanging="0"/>
        <w:jc w:val="center"/>
        <w:rPr>
          <w:rFonts w:ascii="Times New Roman" w:hAnsi="Times New Roman" w:cs="Times New Roman"/>
          <w:b/>
          <w:b/>
          <w:sz w:val="40"/>
          <w:szCs w:val="40"/>
          <w:lang w:val="ru-RU" w:eastAsia="ru-RU"/>
        </w:rPr>
      </w:pPr>
      <w:r>
        <w:drawing>
          <wp:anchor behindDoc="0" distT="0" distB="8890" distL="114300" distR="117475" simplePos="0" locked="0" layoutInCell="1" allowOverlap="1" relativeHeight="2">
            <wp:simplePos x="0" y="0"/>
            <wp:positionH relativeFrom="column">
              <wp:posOffset>-131445</wp:posOffset>
            </wp:positionH>
            <wp:positionV relativeFrom="paragraph">
              <wp:posOffset>-890905</wp:posOffset>
            </wp:positionV>
            <wp:extent cx="5940425" cy="1286510"/>
            <wp:effectExtent l="0" t="0" r="0" b="0"/>
            <wp:wrapTopAndBottom/>
            <wp:docPr id="1" name="Рисунок 1" descr="Бланк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ланк_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40"/>
          <w:szCs w:val="40"/>
          <w:lang w:val="ru-RU" w:eastAsia="ru-RU"/>
        </w:rPr>
        <w:t xml:space="preserve"> </w:t>
      </w:r>
      <w:r>
        <w:rPr>
          <w:rFonts w:cs="Times New Roman" w:ascii="Times New Roman" w:hAnsi="Times New Roman"/>
          <w:b/>
          <w:sz w:val="40"/>
          <w:szCs w:val="40"/>
          <w:lang w:val="ru-RU" w:eastAsia="ru-RU"/>
        </w:rPr>
        <w:t xml:space="preserve">ООО «Агропартнер», </w:t>
      </w:r>
      <w:r>
        <w:rPr>
          <w:rFonts w:cs="Times New Roman" w:ascii="Times New Roman" w:hAnsi="Times New Roman"/>
          <w:b/>
          <w:sz w:val="40"/>
          <w:szCs w:val="40"/>
          <w:lang w:val="ru-RU" w:eastAsia="ru-RU"/>
        </w:rPr>
        <w:t>официальный представитель по Республике Мордовия</w:t>
      </w:r>
    </w:p>
    <w:p>
      <w:pPr>
        <w:pStyle w:val="Normal"/>
        <w:spacing w:before="0" w:after="0"/>
        <w:ind w:firstLine="7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ЖИДКИЕ КОМПЛЕКСНЫЕ УДОБРЕНИЯ </w:t>
      </w:r>
    </w:p>
    <w:p>
      <w:pPr>
        <w:pStyle w:val="Normal"/>
        <w:spacing w:lineRule="auto" w:line="360" w:before="0" w:after="0"/>
        <w:ind w:firstLine="7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ДЛЯ ОБРАБОТКИ СЕМЯН ОЗИМОЙ ПШЕНИЦЫ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Уважаемые партнеры!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Вегетационный период большинства сельскохозяйственных культур переживает свой завершающий этап – близится уборочная. Однако, для озимых культур, урожай которых планируется получить в следующем году, начинается лишь сев, а, значит, пришло время задуматься о получении крепких всходов и хорошо развитых, зимостойких посевов.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связи с этим предлагаем Вам рассмотреть эффективные решения для получения высокого урожая и качества зерна озимых культур - </w:t>
      </w:r>
      <w:r>
        <w:rPr>
          <w:rFonts w:cs="Times New Roman" w:ascii="Times New Roman" w:hAnsi="Times New Roman"/>
          <w:b/>
          <w:sz w:val="24"/>
          <w:szCs w:val="24"/>
        </w:rPr>
        <w:t>ЭКОМАК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 </w:t>
      </w:r>
      <w:r>
        <w:rPr>
          <w:rFonts w:cs="Times New Roman" w:ascii="Times New Roman" w:hAnsi="Times New Roman"/>
          <w:b/>
          <w:sz w:val="24"/>
          <w:szCs w:val="24"/>
        </w:rPr>
        <w:t>МИКРОМАК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>®</w:t>
      </w:r>
      <w:r>
        <w:rPr>
          <w:rFonts w:cs="Times New Roman" w:ascii="Times New Roman" w:hAnsi="Times New Roman"/>
          <w:sz w:val="24"/>
          <w:szCs w:val="24"/>
        </w:rPr>
        <w:t xml:space="preserve"> - жидкие комплексные удобрения с микроэлементами для обработки семян, которые произведены и разработаны компанией ООО «Волски Биохим».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Уникальность удобрений </w:t>
      </w:r>
      <w:r>
        <w:rPr>
          <w:rFonts w:cs="Times New Roman" w:ascii="Times New Roman" w:hAnsi="Times New Roman"/>
          <w:b/>
          <w:sz w:val="24"/>
          <w:szCs w:val="24"/>
        </w:rPr>
        <w:t>ЭКОМАК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 </w:t>
      </w:r>
      <w:r>
        <w:rPr>
          <w:rFonts w:cs="Times New Roman" w:ascii="Times New Roman" w:hAnsi="Times New Roman"/>
          <w:b/>
          <w:sz w:val="24"/>
          <w:szCs w:val="24"/>
        </w:rPr>
        <w:t>МИКРОМАК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>®</w:t>
      </w:r>
      <w:r>
        <w:rPr>
          <w:rFonts w:cs="Times New Roman" w:ascii="Times New Roman" w:hAnsi="Times New Roman"/>
          <w:sz w:val="24"/>
          <w:szCs w:val="24"/>
        </w:rPr>
        <w:t xml:space="preserve"> в том, что качественный и количественный состав был разработан на основе многолетних исследований ферментативной активности почвенных бактерий и растений. Микроэлементы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приводят в равновесие компоненты растительной клетки, активируют работу ферментов, запускают важнейшие биохимические процессы. </w:t>
      </w:r>
    </w:p>
    <w:p>
      <w:pPr>
        <w:pStyle w:val="Normal"/>
        <w:overflowPunct w:val="false"/>
        <w:spacing w:before="0" w:after="0"/>
        <w:jc w:val="center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Преимущества жидкого комплексного микроудобрения ЭКОМАК</w:t>
      </w:r>
    </w:p>
    <w:p>
      <w:pPr>
        <w:pStyle w:val="Normal"/>
        <w:overflowPunct w:val="false"/>
        <w:spacing w:before="0" w:after="0"/>
        <w:jc w:val="center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озимой пшенице:</w:t>
      </w:r>
    </w:p>
    <w:p>
      <w:pPr>
        <w:pStyle w:val="NoSpacing"/>
        <w:numPr>
          <w:ilvl w:val="0"/>
          <w:numId w:val="1"/>
        </w:numPr>
        <w:rPr/>
      </w:pPr>
      <w:r>
        <w:rPr/>
        <w:t>Низкая стоимость обработки 1 тонны семян;</w:t>
      </w:r>
    </w:p>
    <w:p>
      <w:pPr>
        <w:pStyle w:val="NoSpacing"/>
        <w:numPr>
          <w:ilvl w:val="0"/>
          <w:numId w:val="1"/>
        </w:numPr>
        <w:rPr/>
      </w:pPr>
      <w:r>
        <w:rPr/>
        <w:t>Защищает от осенней засухи и комплекса неблагоприятных факторов перезимовки;</w:t>
      </w:r>
    </w:p>
    <w:p>
      <w:pPr>
        <w:pStyle w:val="NoSpacing"/>
        <w:numPr>
          <w:ilvl w:val="0"/>
          <w:numId w:val="1"/>
        </w:numPr>
        <w:rPr/>
      </w:pPr>
      <w:r>
        <w:rPr/>
        <w:t>Активизирует иммунитет – противостояние корневым гнилям, снежной плесени, выпреванию;</w:t>
      </w:r>
    </w:p>
    <w:p>
      <w:pPr>
        <w:pStyle w:val="NoSpacing"/>
        <w:numPr>
          <w:ilvl w:val="0"/>
          <w:numId w:val="1"/>
        </w:numPr>
        <w:rPr/>
      </w:pPr>
      <w:r>
        <w:rPr/>
        <w:t>Способствует накоплению сахаров в узле кущения, повышает морозоустойчивость;</w:t>
      </w:r>
    </w:p>
    <w:p>
      <w:pPr>
        <w:pStyle w:val="NoSpacing"/>
        <w:numPr>
          <w:ilvl w:val="0"/>
          <w:numId w:val="1"/>
        </w:numPr>
        <w:rPr/>
      </w:pPr>
      <w:r>
        <w:rPr/>
        <w:t>Устраняет стресс, вызванный пестицидами;</w:t>
      </w:r>
    </w:p>
    <w:p>
      <w:pPr>
        <w:pStyle w:val="NoSpacing"/>
        <w:numPr>
          <w:ilvl w:val="0"/>
          <w:numId w:val="1"/>
        </w:numPr>
        <w:rPr/>
      </w:pPr>
      <w:r>
        <w:rPr/>
        <w:t>Улучшает качество с.-х. продукции.</w:t>
      </w:r>
    </w:p>
    <w:p>
      <w:pPr>
        <w:pStyle w:val="NoSpacing"/>
        <w:ind w:left="720" w:hanging="0"/>
        <w:rPr/>
      </w:pPr>
      <w:r>
        <w:rPr/>
      </w:r>
    </w:p>
    <w:p>
      <w:pPr>
        <w:pStyle w:val="Normal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составе </w:t>
      </w:r>
      <w:r>
        <w:rPr>
          <w:rFonts w:cs="Times New Roman" w:ascii="Times New Roman" w:hAnsi="Times New Roman"/>
          <w:b/>
          <w:sz w:val="24"/>
          <w:szCs w:val="24"/>
        </w:rPr>
        <w:t>ЭКОМАК</w:t>
      </w:r>
      <w:r>
        <w:rPr>
          <w:rFonts w:cs="Times New Roman" w:ascii="Times New Roman" w:hAnsi="Times New Roman"/>
          <w:sz w:val="24"/>
          <w:szCs w:val="24"/>
        </w:rPr>
        <w:t xml:space="preserve"> имеется комплекс полимерных веществ, повышающих эффективность действия микроэлементов, что объясняет его невысокую норму расхода на 1 т посевного материала – 0,5 л/т.</w:t>
      </w:r>
    </w:p>
    <w:p>
      <w:pPr>
        <w:pStyle w:val="Normal"/>
        <w:ind w:firstLine="7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В составе имеется стартовый набор макроэлементов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N</w:t>
      </w:r>
      <w:r>
        <w:rPr>
          <w:rFonts w:cs="Times New Roman" w:ascii="Times New Roman" w:hAnsi="Times New Roman"/>
          <w:bCs/>
          <w:sz w:val="24"/>
          <w:szCs w:val="24"/>
        </w:rPr>
        <w:t xml:space="preserve">РК, что служит начальным питанием семян, которые не имеют еще корневой системы для получения данных элементов из почвы. Всего удобрение </w:t>
      </w:r>
      <w:r>
        <w:rPr>
          <w:rFonts w:cs="Times New Roman" w:ascii="Times New Roman" w:hAnsi="Times New Roman"/>
          <w:b/>
          <w:bCs/>
          <w:sz w:val="24"/>
          <w:szCs w:val="24"/>
        </w:rPr>
        <w:t>ЭКОМАК</w:t>
      </w:r>
      <w:r>
        <w:rPr>
          <w:rFonts w:cs="Times New Roman" w:ascii="Times New Roman" w:hAnsi="Times New Roman"/>
          <w:bCs/>
          <w:sz w:val="24"/>
          <w:szCs w:val="24"/>
        </w:rPr>
        <w:t xml:space="preserve"> содержит 5 макро- и 7 микроэлементов.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overflowPunct w:val="false"/>
        <w:jc w:val="center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Преимущества жидкого комплексного микроудобрения МИКРОМАК</w:t>
      </w:r>
    </w:p>
    <w:p>
      <w:pPr>
        <w:pStyle w:val="Normal"/>
        <w:overflowPunct w:val="false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МИКРОМАК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>®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имеет индивидуальный состав для озимых культур с учетом физиологических особенностей развития и состава растительных клеток растений:</w:t>
      </w:r>
    </w:p>
    <w:p>
      <w:pPr>
        <w:pStyle w:val="ListParagraph"/>
        <w:numPr>
          <w:ilvl w:val="0"/>
          <w:numId w:val="3"/>
        </w:numPr>
        <w:overflowPunct w:val="false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повышенное содержание меди и калия способствует более интенсивному накоплению сахаров в узле кущения, что обеспечивает высокую зимостойкость;</w:t>
      </w:r>
    </w:p>
    <w:p>
      <w:pPr>
        <w:pStyle w:val="ListParagraph"/>
        <w:numPr>
          <w:ilvl w:val="0"/>
          <w:numId w:val="3"/>
        </w:numPr>
        <w:overflowPunct w:val="false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состав обогащен цинком для сохранения засухоустойчивости в ранний осенний период;</w:t>
      </w:r>
    </w:p>
    <w:p>
      <w:pPr>
        <w:pStyle w:val="ListParagraph"/>
        <w:numPr>
          <w:ilvl w:val="0"/>
          <w:numId w:val="3"/>
        </w:numPr>
        <w:overflowPunct w:val="false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дополнительные марганец и фосфор способствуют более интенсивному росту корневой системы;</w:t>
      </w:r>
    </w:p>
    <w:p>
      <w:pPr>
        <w:pStyle w:val="ListParagraph"/>
        <w:numPr>
          <w:ilvl w:val="0"/>
          <w:numId w:val="3"/>
        </w:numPr>
        <w:overflowPunct w:val="false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повышенное содержание лития снижает риск поражения грибными болезнями.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Эффекты от применения </w:t>
      </w:r>
      <w:r>
        <w:rPr>
          <w:rFonts w:cs="Times New Roman" w:ascii="Times New Roman" w:hAnsi="Times New Roman"/>
          <w:b/>
          <w:sz w:val="24"/>
          <w:szCs w:val="24"/>
        </w:rPr>
        <w:t>МИКРОМАК</w:t>
      </w:r>
      <w:r>
        <w:rPr>
          <w:rFonts w:eastAsia="Calibri" w:cs="Times New Roman" w:ascii="Times New Roman" w:hAnsi="Times New Roman"/>
          <w:b/>
          <w:sz w:val="24"/>
          <w:szCs w:val="24"/>
          <w:vertAlign w:val="superscript"/>
        </w:rPr>
        <w:t>®</w:t>
      </w:r>
      <w:r>
        <w:rPr>
          <w:rFonts w:cs="Times New Roman" w:ascii="Times New Roman" w:hAnsi="Times New Roman"/>
          <w:sz w:val="24"/>
          <w:szCs w:val="24"/>
        </w:rPr>
        <w:t xml:space="preserve"> для озимых культур: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Ускоряет появление всходов, в среднем на 2 дня;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Обеспечивает формирование в более мощной корневой системы;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Защищает от осенней засухи, выпирания;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Активизирует иммунитет – противостояние корневым гнилям, снежной плесени, выпреванию;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Способствует накоплению сахаров в узле кущения - повышение морозоустойчивости;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Улучшает перезимовку озимых – снижается процент гибели в 1,5-2 раза;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Устраняет стресс, вызванный пестицидами;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Обеспечивает образование дополнительных 3-5 зёрен в колосе;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Доказано повышает  урожайность озимых культур на 5–10 ц/га;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Обеспечивает снижение нормы высева семян на 10-15% за счет повышения полевой всхожести и увеличения продуктивной кустистости на 30-60%;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Улучшает качество зерна.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Среди аналогов </w:t>
      </w:r>
      <w:r>
        <w:rPr>
          <w:rFonts w:eastAsia="Calibri" w:cs="Times New Roman" w:ascii="Times New Roman" w:hAnsi="Times New Roman"/>
          <w:b/>
          <w:sz w:val="24"/>
          <w:szCs w:val="24"/>
        </w:rPr>
        <w:t>МИКРОМАК</w:t>
      </w:r>
      <w:r>
        <w:rPr>
          <w:rFonts w:eastAsia="Calibri" w:cs="Times New Roman" w:ascii="Times New Roman" w:hAnsi="Times New Roman"/>
          <w:b/>
          <w:sz w:val="24"/>
          <w:szCs w:val="24"/>
          <w:vertAlign w:val="superscript"/>
        </w:rPr>
        <w:t>®</w:t>
      </w:r>
      <w:r>
        <w:rPr>
          <w:rFonts w:cs="Times New Roman" w:ascii="Times New Roman" w:hAnsi="Times New Roman"/>
          <w:bCs/>
          <w:sz w:val="24"/>
          <w:szCs w:val="24"/>
        </w:rPr>
        <w:t xml:space="preserve"> обладает самым насыщенным и концентрированным составом элементов питания, что обеспечивает культуру комплексным и полноценным питанием микроэлементами – 5 макроэлементов,                12 микроэлементов.</w:t>
      </w:r>
    </w:p>
    <w:p>
      <w:pPr>
        <w:pStyle w:val="Normal"/>
        <w:ind w:firstLine="7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В составе удобрения </w:t>
      </w:r>
      <w:r>
        <w:rPr>
          <w:rFonts w:cs="Times New Roman" w:ascii="Times New Roman" w:hAnsi="Times New Roman"/>
          <w:b/>
          <w:sz w:val="24"/>
          <w:szCs w:val="24"/>
        </w:rPr>
        <w:t>МИКРОМАК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>®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имеются такие микроэлементы, как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Li</w:t>
      </w:r>
      <w:r>
        <w:rPr>
          <w:rFonts w:cs="Times New Roman" w:ascii="Times New Roman" w:hAnsi="Times New Roman"/>
          <w:bCs/>
          <w:sz w:val="24"/>
          <w:szCs w:val="24"/>
        </w:rPr>
        <w:t xml:space="preserve"> (литий),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Ni</w:t>
      </w:r>
      <w:r>
        <w:rPr>
          <w:rFonts w:cs="Times New Roman" w:ascii="Times New Roman" w:hAnsi="Times New Roman"/>
          <w:bCs/>
          <w:sz w:val="24"/>
          <w:szCs w:val="24"/>
        </w:rPr>
        <w:t xml:space="preserve"> (никель),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Cr</w:t>
      </w:r>
      <w:r>
        <w:rPr>
          <w:rFonts w:cs="Times New Roman" w:ascii="Times New Roman" w:hAnsi="Times New Roman"/>
          <w:bCs/>
          <w:sz w:val="24"/>
          <w:szCs w:val="24"/>
        </w:rPr>
        <w:t xml:space="preserve"> (хром),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V</w:t>
      </w:r>
      <w:r>
        <w:rPr>
          <w:rFonts w:cs="Times New Roman" w:ascii="Times New Roman" w:hAnsi="Times New Roman"/>
          <w:bCs/>
          <w:sz w:val="24"/>
          <w:szCs w:val="24"/>
        </w:rPr>
        <w:t xml:space="preserve"> (ванадий), не присутствующие ни в одном из представленных на рынке удобрений с микроэлементами. Данные элементы оказывают защитно-стимулирующее действие на растения: стимулируют рост, повышают иммунитет.</w:t>
      </w:r>
    </w:p>
    <w:p>
      <w:pPr>
        <w:pStyle w:val="Normal"/>
        <w:ind w:firstLine="425"/>
        <w:jc w:val="both"/>
        <w:textAlignment w:val="baseline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Максимально насыщенный и богатый состав продукта делает цену на это удобрение обоснованной и справедливой, оправданной полученной прибавкой урожая.</w:t>
      </w:r>
    </w:p>
    <w:p>
      <w:pPr>
        <w:pStyle w:val="Normal"/>
        <w:overflowPunct w:val="false"/>
        <w:ind w:firstLine="425"/>
        <w:jc w:val="both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МИКРОМАК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>®</w:t>
      </w:r>
      <w:r>
        <w:rPr>
          <w:rFonts w:cs="Times New Roman" w:ascii="Times New Roman" w:hAnsi="Times New Roman"/>
          <w:sz w:val="24"/>
          <w:szCs w:val="24"/>
        </w:rPr>
        <w:t xml:space="preserve"> существует на рынке </w:t>
      </w:r>
      <w:r>
        <w:rPr>
          <w:rFonts w:cs="Times New Roman" w:ascii="Times New Roman" w:hAnsi="Times New Roman"/>
          <w:b/>
          <w:sz w:val="24"/>
          <w:szCs w:val="24"/>
        </w:rPr>
        <w:t>с 1994 года</w:t>
      </w:r>
      <w:r>
        <w:rPr>
          <w:rFonts w:cs="Times New Roman" w:ascii="Times New Roman" w:hAnsi="Times New Roman"/>
          <w:sz w:val="24"/>
          <w:szCs w:val="24"/>
        </w:rPr>
        <w:t xml:space="preserve"> и зарекомендовал себя как высокоэффективный продукт.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ListParagraph"/>
        <w:spacing w:lineRule="atLeast" w:line="280"/>
        <w:ind w:left="0"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 жидких комплексных микроудобрений МИКРОМАК И ЭКОМАК</w:t>
      </w:r>
    </w:p>
    <w:p>
      <w:pPr>
        <w:pStyle w:val="ListParagraph"/>
        <w:spacing w:lineRule="atLeast" w:line="280"/>
        <w:ind w:left="1440" w:hanging="0"/>
        <w:rPr>
          <w:b/>
          <w:b/>
        </w:rPr>
      </w:pPr>
      <w:r>
        <w:rPr>
          <w:b/>
        </w:rPr>
      </w:r>
    </w:p>
    <w:tbl>
      <w:tblPr>
        <w:tblW w:w="5000" w:type="pct"/>
        <w:jc w:val="left"/>
        <w:tblInd w:w="-10" w:type="dxa"/>
        <w:tblBorders>
          <w:top w:val="single" w:sz="4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3"/>
        <w:gridCol w:w="1676"/>
        <w:gridCol w:w="1291"/>
        <w:gridCol w:w="4224"/>
      </w:tblGrid>
      <w:tr>
        <w:trPr>
          <w:trHeight w:val="570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Количество микроэлементов, г/л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b/>
                <w:b/>
              </w:rPr>
            </w:pPr>
            <w:r>
              <w:rPr>
                <w:b/>
              </w:rPr>
              <w:t>МИКРОМАК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b/>
                <w:b/>
              </w:rPr>
            </w:pPr>
            <w:r>
              <w:rPr>
                <w:b/>
              </w:rPr>
              <w:t>ЭКОМАК</w:t>
            </w:r>
          </w:p>
        </w:tc>
        <w:tc>
          <w:tcPr>
            <w:tcW w:w="42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ind w:right="-283" w:hanging="0"/>
              <w:jc w:val="center"/>
              <w:rPr/>
            </w:pPr>
            <w:r>
              <w:rPr/>
              <w:drawing>
                <wp:inline distT="0" distB="0" distL="0" distR="0">
                  <wp:extent cx="3038475" cy="3048000"/>
                  <wp:effectExtent l="0" t="0" r="0" b="0"/>
                  <wp:docPr id="2" name="Рисунок 2" descr="Z:\Обмен между отделами\Воронин\Для презентации Краснодар\Ростов 2011\Заря(Русгрейн)\фото снопы сравн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Z:\Обмен между отделами\Воронин\Для презентации Краснодар\Ростов 2011\Заря(Русгрейн)\фото снопы сравн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Spacing"/>
              <w:jc w:val="center"/>
              <w:rPr/>
            </w:pPr>
            <w:r>
              <w:rPr/>
            </w:r>
          </w:p>
          <w:p>
            <w:pPr>
              <w:pStyle w:val="NoSpacing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>
              <w:rPr>
                <w:b/>
                <w:bCs/>
                <w:sz w:val="20"/>
                <w:szCs w:val="20"/>
              </w:rPr>
              <w:t xml:space="preserve">Опыт применения Микромак </w:t>
            </w:r>
          </w:p>
          <w:p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озимой пшенице  «Безенчукская 380», 2011 г.</w:t>
            </w:r>
          </w:p>
          <w:p>
            <w:pPr>
              <w:pStyle w:val="NoSpacing"/>
              <w:jc w:val="center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Cu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38,00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11,90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267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Zn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34,00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12,00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256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Fe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5,40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4,28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261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Mn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3,80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7,10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250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Mo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6,70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1,10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255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B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4,70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4,28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258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Co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2,30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2,20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249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Se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0,13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243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Ni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0,17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232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Cr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1,20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251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Li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0,60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V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0,90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231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S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58,00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51,40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231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MgО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24,00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11,90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235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N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44,00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29,40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298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P</w:t>
            </w:r>
            <w:r>
              <w:rPr>
                <w:rFonts w:cs="Cambria Math" w:ascii="Cambria Math" w:hAnsi="Cambria Math"/>
              </w:rPr>
              <w:t>₂</w:t>
            </w:r>
            <w:r>
              <w:rPr/>
              <w:t>O</w:t>
            </w:r>
            <w:r>
              <w:rPr>
                <w:rFonts w:cs="Cambria Math" w:ascii="Cambria Math" w:hAnsi="Cambria Math"/>
              </w:rPr>
              <w:t>₅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5,00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7,50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К</w:t>
            </w:r>
            <w:r>
              <w:rPr>
                <w:rFonts w:cs="Cambria Math" w:ascii="Cambria Math" w:hAnsi="Cambria Math"/>
              </w:rPr>
              <w:t>₂</w:t>
            </w:r>
            <w:r>
              <w:rPr/>
              <w:t>O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Spacing"/>
              <w:jc w:val="center"/>
              <w:rPr/>
            </w:pPr>
            <w:r>
              <w:rPr/>
              <w:t>39,00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21,70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165" w:hRule="atLeast"/>
        </w:trPr>
        <w:tc>
          <w:tcPr>
            <w:tcW w:w="216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Spacing"/>
              <w:jc w:val="center"/>
              <w:rPr>
                <w:b/>
                <w:b/>
              </w:rPr>
            </w:pPr>
            <w:r>
              <w:rPr>
                <w:b/>
              </w:rPr>
              <w:t>Норма расхода, л/т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b/>
                <w:b/>
              </w:rPr>
            </w:pPr>
            <w:r>
              <w:rPr>
                <w:b/>
              </w:rPr>
              <w:t>2,00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eastAsia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0,50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>
          <w:trHeight w:val="176" w:hRule="atLeast"/>
        </w:trPr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Макро, г/л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170,00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121,90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Микро, г/л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97,90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42,86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Всего д.в., г/л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267,90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164,76</w:t>
            </w:r>
          </w:p>
        </w:tc>
        <w:tc>
          <w:tcPr>
            <w:tcW w:w="42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</w:tcPr>
          <w:p>
            <w:pPr>
              <w:pStyle w:val="NoSpacing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Эффективность применения удобрений </w:t>
      </w:r>
      <w:r>
        <w:rPr>
          <w:rFonts w:cs="Times New Roman" w:ascii="Times New Roman" w:hAnsi="Times New Roman"/>
          <w:b/>
          <w:sz w:val="24"/>
          <w:szCs w:val="24"/>
        </w:rPr>
        <w:t>ЭКОМАК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 xml:space="preserve">® </w:t>
      </w:r>
      <w:r>
        <w:rPr>
          <w:rFonts w:cs="Times New Roman" w:ascii="Times New Roman" w:hAnsi="Times New Roman"/>
          <w:b/>
          <w:sz w:val="24"/>
          <w:szCs w:val="24"/>
        </w:rPr>
        <w:t xml:space="preserve"> и </w:t>
      </w: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>МИКРОМАК</w:t>
      </w:r>
      <w:r>
        <w:rPr>
          <w:rFonts w:eastAsia="Calibri" w:cs="Times New Roman" w:ascii="Times New Roman" w:hAnsi="Times New Roman"/>
          <w:b/>
          <w:sz w:val="24"/>
          <w:szCs w:val="24"/>
          <w:vertAlign w:val="superscript"/>
        </w:rPr>
        <w:t xml:space="preserve">® </w:t>
      </w:r>
      <w:r>
        <w:rPr>
          <w:rFonts w:cs="Times New Roman" w:ascii="Times New Roman" w:hAnsi="Times New Roman"/>
          <w:sz w:val="24"/>
          <w:szCs w:val="24"/>
        </w:rPr>
        <w:t xml:space="preserve">на озимой пшенице подтверждена многими научными и производственными испытаниями, проходящих в строго регламентированных условиях (всего более 100 опытов). С результатами можно ознакомиться на сайте </w:t>
      </w:r>
      <w:hyperlink r:id="rId4">
        <w:r>
          <w:rPr>
            <w:rStyle w:val="Style15"/>
            <w:rFonts w:cs="Times New Roman" w:ascii="Times New Roman" w:hAnsi="Times New Roman"/>
            <w:b/>
            <w:i/>
            <w:sz w:val="24"/>
            <w:szCs w:val="24"/>
            <w:lang w:val="en-US"/>
          </w:rPr>
          <w:t>www</w:t>
        </w:r>
        <w:r>
          <w:rPr>
            <w:rStyle w:val="Style15"/>
            <w:rFonts w:cs="Times New Roman" w:ascii="Times New Roman" w:hAnsi="Times New Roman"/>
            <w:b/>
            <w:i/>
            <w:sz w:val="24"/>
            <w:szCs w:val="24"/>
          </w:rPr>
          <w:t>.</w:t>
        </w:r>
        <w:r>
          <w:rPr>
            <w:rStyle w:val="Style15"/>
            <w:rFonts w:cs="Times New Roman" w:ascii="Times New Roman" w:hAnsi="Times New Roman"/>
            <w:b/>
            <w:i/>
            <w:sz w:val="24"/>
            <w:szCs w:val="24"/>
            <w:lang w:val="en-US"/>
          </w:rPr>
          <w:t>volskybiochem</w:t>
        </w:r>
        <w:r>
          <w:rPr>
            <w:rStyle w:val="Style15"/>
            <w:rFonts w:cs="Times New Roman" w:ascii="Times New Roman" w:hAnsi="Times New Roman"/>
            <w:b/>
            <w:i/>
            <w:sz w:val="24"/>
            <w:szCs w:val="24"/>
          </w:rPr>
          <w:t>.</w:t>
        </w:r>
        <w:r>
          <w:rPr>
            <w:rStyle w:val="Style15"/>
            <w:rFonts w:cs="Times New Roman" w:ascii="Times New Roman" w:hAnsi="Times New Roman"/>
            <w:b/>
            <w:i/>
            <w:sz w:val="24"/>
            <w:szCs w:val="24"/>
            <w:lang w:val="en-US"/>
          </w:rPr>
          <w:t>ru</w:t>
        </w:r>
      </w:hyperlink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before="0" w:after="0"/>
        <w:rPr/>
      </w:pPr>
      <w:r>
        <w:rPr>
          <w:b/>
          <w:bCs/>
          <w:i/>
          <w:iCs/>
        </w:rPr>
        <w:t>Наши контакты:</w:t>
      </w:r>
      <w:r>
        <w:rPr>
          <w:i/>
          <w:iCs/>
        </w:rPr>
        <w:br/>
        <w:t>факс: 8(8342) 222-582</w:t>
        <w:br/>
        <w:t>сот. 8-927-640-42-67</w:t>
        <w:br/>
        <w:t xml:space="preserve">e-mail: </w:t>
      </w:r>
      <w:hyperlink r:id="rId5">
        <w:r>
          <w:rPr>
            <w:rStyle w:val="Style15"/>
            <w:i/>
            <w:iCs/>
          </w:rPr>
          <w:t>agrovector@inbox.ru</w:t>
        </w:r>
      </w:hyperlink>
      <w:r>
        <w:rPr>
          <w:i/>
          <w:iCs/>
        </w:rPr>
        <w:br/>
        <w:t xml:space="preserve">Сайт: www.агровектор.рф </w:t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360" w:charSpace="4294965247"/>
        </w:sectPr>
      </w:pPr>
    </w:p>
    <w:sectPr>
      <w:type w:val="continuous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 Math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•"/>
      <w:lvlJc w:val="left"/>
      <w:pPr>
        <w:ind w:left="2007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4a405c"/>
    <w:rPr>
      <w:rFonts w:ascii="Tahoma" w:hAnsi="Tahoma" w:cs="Tahoma"/>
      <w:sz w:val="16"/>
      <w:szCs w:val="16"/>
    </w:rPr>
  </w:style>
  <w:style w:type="character" w:styleId="Style15">
    <w:name w:val="Интернет-ссылка"/>
    <w:uiPriority w:val="99"/>
    <w:unhideWhenUsed/>
    <w:rsid w:val="00401037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Times New Roman" w:hAnsi="Times New Roman" w:cs="Symbol"/>
      <w:sz w:val="24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ad066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14b7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a40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www.volskybiochem.ru/" TargetMode="External"/><Relationship Id="rId5" Type="http://schemas.openxmlformats.org/officeDocument/2006/relationships/hyperlink" Target="https://e.mail.ru/compose/?mailto=mailto%3Aagrovector@inbox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LibreOffice/5.2.0.4$Windows_X86_64 LibreOffice_project/066b007f5ebcc236395c7d282ba488bca6720265</Application>
  <Pages>3</Pages>
  <Words>651</Words>
  <Characters>4326</Characters>
  <CharactersWithSpaces>4892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2017-08-01T10:19:00Z</dcterms:created>
  <dc:creator>Роман Рябов</dc:creator>
  <dc:description/>
  <dc:language>ru-RU</dc:language>
  <cp:lastModifiedBy/>
  <dcterms:modified xsi:type="dcterms:W3CDTF">2018-11-19T20:09:14Z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